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BE" w:rsidRDefault="000F26BE"/>
    <w:p w:rsidR="000F26BE" w:rsidRDefault="000F26BE">
      <w:bookmarkStart w:id="0" w:name="_GoBack"/>
      <w:bookmarkEnd w:id="0"/>
      <w:r>
        <w:t>Предусмотрено ли наказание за возбуждение ненависти либо вражды?</w:t>
      </w:r>
    </w:p>
    <w:p w:rsidR="000F26BE" w:rsidRDefault="000F26BE"/>
    <w:p w:rsidR="000F26BE" w:rsidRDefault="000F26BE">
      <w:r>
        <w:t>Отвечает старший помощник прокурора Правобережного района Мецаева А.Э.</w:t>
      </w:r>
    </w:p>
    <w:p w:rsidR="000F26BE" w:rsidRDefault="000F26BE"/>
    <w:p w:rsidR="000F26BE" w:rsidRDefault="000F26BE">
      <w:r>
        <w:t>Статьёй 282 УК РФ предусмотрена уголовная ответственность за совершение действий, направленных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 Уголовная ответственность за указанные действия возникает у лица, достигшего 16 лет.</w:t>
      </w:r>
    </w:p>
    <w:p w:rsidR="000F26BE" w:rsidRDefault="000F26BE">
      <w: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</w:p>
    <w:p w:rsidR="000F26BE" w:rsidRDefault="000F26BE">
      <w:r>
        <w:t>Достаточно большое количество преступных деяний относятся к преступлениям экстремисткой направленности. Таковыми могут быть и деяния, предусмотренные статьями 148,149, 205-214, 275-282.2, 357, 360 УК РФ.</w:t>
      </w:r>
    </w:p>
    <w:p w:rsidR="000F26BE" w:rsidRDefault="000F26BE">
      <w:r>
        <w:t>Если же преступление совершено по мотивам политической, идеологической, национальной или религиозной ненависти, или вражды, то данное обстоятельств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</w:t>
      </w:r>
    </w:p>
    <w:p w:rsidR="000F26BE" w:rsidRDefault="000F26BE">
      <w:r>
        <w:t>Наиболее распространённой является экстремистская деятельность, связанная с массовым распространением экстремистских материалов, особенно в сети Интернет.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BE"/>
    <w:rsid w:val="000F26BE"/>
    <w:rsid w:val="008076CE"/>
    <w:rsid w:val="00AB6831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B4FD-D05B-4FA6-B183-5F378B4A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2</cp:revision>
  <dcterms:created xsi:type="dcterms:W3CDTF">2024-06-21T08:32:00Z</dcterms:created>
  <dcterms:modified xsi:type="dcterms:W3CDTF">2024-06-27T08:36:00Z</dcterms:modified>
</cp:coreProperties>
</file>